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after="78"/>
        <w:ind w:firstLine="640"/>
        <w:jc w:val="center"/>
        <w:rPr>
          <w:sz w:val="32"/>
          <w:szCs w:val="32"/>
        </w:rPr>
      </w:pPr>
      <w:r>
        <w:rPr>
          <w:rFonts w:hint="eastAsia"/>
          <w:sz w:val="32"/>
          <w:szCs w:val="32"/>
        </w:rPr>
        <w:t>园艺</w:t>
      </w:r>
      <w:r>
        <w:rPr>
          <w:sz w:val="32"/>
          <w:szCs w:val="32"/>
        </w:rPr>
        <w:t>专业卓越农林人才培养计划试点项目实施方案</w:t>
      </w:r>
    </w:p>
    <w:p>
      <w:pPr>
        <w:jc w:val="center"/>
        <w:rPr>
          <w:b/>
        </w:rPr>
      </w:pPr>
      <w:r>
        <w:rPr>
          <w:rFonts w:hint="eastAsia"/>
          <w:b/>
        </w:rPr>
        <w:t>（试行）</w:t>
      </w:r>
    </w:p>
    <w:p>
      <w:pPr/>
    </w:p>
    <w:p>
      <w:pPr>
        <w:spacing w:line="360" w:lineRule="exact"/>
        <w:ind w:firstLine="480" w:firstLineChars="200"/>
        <w:rPr>
          <w:rFonts w:ascii="仿宋" w:hAnsi="仿宋" w:eastAsia="仿宋"/>
          <w:color w:val="000000"/>
          <w:sz w:val="24"/>
          <w:szCs w:val="24"/>
        </w:rPr>
      </w:pPr>
      <w:r>
        <w:rPr>
          <w:rFonts w:hint="eastAsia" w:ascii="仿宋" w:hAnsi="仿宋" w:eastAsia="仿宋" w:cs="宋体"/>
          <w:color w:val="000000"/>
          <w:sz w:val="24"/>
          <w:szCs w:val="24"/>
        </w:rPr>
        <w:t>2014年南京农业大学农学专业入选教育部“卓越农林人才培养计划”试点项目；2015年入选“江苏高校品牌专业建设工程”。本专业围绕国家战略以及园艺产业需求，</w:t>
      </w:r>
      <w:r>
        <w:rPr>
          <w:rFonts w:ascii="仿宋" w:hAnsi="仿宋" w:eastAsia="仿宋" w:cs="宋体"/>
          <w:color w:val="000000"/>
          <w:sz w:val="24"/>
          <w:szCs w:val="24"/>
        </w:rPr>
        <w:t>培养掌握较完整的现代生物科学知识体系，具有较宽厚的园艺</w:t>
      </w:r>
      <w:r>
        <w:rPr>
          <w:rFonts w:hint="eastAsia" w:ascii="仿宋" w:hAnsi="仿宋" w:eastAsia="仿宋" w:cs="宋体"/>
          <w:color w:val="000000"/>
          <w:sz w:val="24"/>
          <w:szCs w:val="24"/>
        </w:rPr>
        <w:t>学</w:t>
      </w:r>
      <w:r>
        <w:rPr>
          <w:rFonts w:ascii="仿宋" w:hAnsi="仿宋" w:eastAsia="仿宋" w:cs="宋体"/>
          <w:color w:val="000000"/>
          <w:sz w:val="24"/>
          <w:szCs w:val="24"/>
        </w:rPr>
        <w:t>基本知识和基本理论，能从事果树、蔬菜、观赏园艺、设施园艺、园林绿化与养护以及其它相关专业方向的现代园艺科技推广、产业开发</w:t>
      </w:r>
      <w:r>
        <w:rPr>
          <w:rFonts w:hint="eastAsia" w:ascii="仿宋" w:hAnsi="仿宋" w:eastAsia="仿宋" w:cs="宋体"/>
          <w:color w:val="000000"/>
          <w:sz w:val="24"/>
          <w:szCs w:val="24"/>
        </w:rPr>
        <w:t>与</w:t>
      </w:r>
      <w:r>
        <w:rPr>
          <w:rFonts w:ascii="仿宋" w:hAnsi="仿宋" w:eastAsia="仿宋" w:cs="宋体"/>
          <w:color w:val="000000"/>
          <w:sz w:val="24"/>
          <w:szCs w:val="24"/>
        </w:rPr>
        <w:t>经营管理</w:t>
      </w:r>
      <w:r>
        <w:rPr>
          <w:rFonts w:hint="eastAsia" w:ascii="仿宋" w:hAnsi="仿宋" w:eastAsia="仿宋" w:cs="宋体"/>
          <w:color w:val="000000"/>
          <w:sz w:val="24"/>
          <w:szCs w:val="24"/>
        </w:rPr>
        <w:t>、</w:t>
      </w:r>
      <w:r>
        <w:rPr>
          <w:rFonts w:ascii="仿宋" w:hAnsi="仿宋" w:eastAsia="仿宋" w:cs="宋体"/>
          <w:color w:val="000000"/>
          <w:sz w:val="24"/>
          <w:szCs w:val="24"/>
        </w:rPr>
        <w:t>教学和科研等业务工作</w:t>
      </w:r>
      <w:r>
        <w:rPr>
          <w:rFonts w:hint="eastAsia" w:ascii="仿宋" w:hAnsi="仿宋" w:eastAsia="仿宋" w:cs="宋体"/>
          <w:color w:val="000000"/>
          <w:sz w:val="24"/>
          <w:szCs w:val="24"/>
        </w:rPr>
        <w:t>的高素质拔尖创新型人才和复合应用型人才。</w:t>
      </w:r>
    </w:p>
    <w:p>
      <w:pPr>
        <w:pStyle w:val="2"/>
        <w:spacing w:before="156" w:after="78"/>
        <w:ind w:firstLine="482"/>
        <w:jc w:val="center"/>
        <w:rPr>
          <w:rFonts w:ascii="仿宋" w:hAnsi="仿宋" w:eastAsia="仿宋"/>
          <w:b/>
          <w:szCs w:val="24"/>
        </w:rPr>
      </w:pPr>
      <w:r>
        <w:rPr>
          <w:rFonts w:hint="eastAsia" w:ascii="仿宋" w:hAnsi="仿宋" w:eastAsia="仿宋"/>
          <w:b/>
          <w:szCs w:val="24"/>
        </w:rPr>
        <w:t>一、专业培养目标</w:t>
      </w:r>
    </w:p>
    <w:p>
      <w:pPr>
        <w:spacing w:line="360" w:lineRule="atLeas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本专业围绕国家战略需求，实行人才的分类培养。</w:t>
      </w:r>
      <w:r>
        <w:rPr>
          <w:rFonts w:ascii="仿宋" w:hAnsi="仿宋" w:eastAsia="仿宋" w:cs="宋体"/>
          <w:color w:val="000000"/>
          <w:sz w:val="24"/>
          <w:szCs w:val="24"/>
        </w:rPr>
        <w:t>培养掌握较完整的现代生物科学知识体系，具有较宽厚的园艺基本知识和基本理论，掌握较扎实而熟练的基本技能，能从事果树、蔬菜、观赏园艺、设施园艺、园林绿化与养护以及其它相关专业方向的现代园艺科技推广、产业开发、经营管理及教学和科研等业务工作，有较宽广的适应性和一定专业特长</w:t>
      </w:r>
      <w:r>
        <w:rPr>
          <w:rFonts w:hint="eastAsia" w:ascii="仿宋" w:hAnsi="仿宋" w:eastAsia="仿宋" w:cs="宋体"/>
          <w:color w:val="000000"/>
          <w:sz w:val="24"/>
          <w:szCs w:val="24"/>
        </w:rPr>
        <w:t>的拔尖创新型卓越人才（学术研究方向）和复合应用型（实践创新方向）卓越人才。</w:t>
      </w:r>
    </w:p>
    <w:p>
      <w:pPr>
        <w:pStyle w:val="2"/>
        <w:spacing w:before="156" w:after="78"/>
        <w:ind w:firstLine="482"/>
        <w:jc w:val="center"/>
        <w:rPr>
          <w:rFonts w:ascii="仿宋" w:hAnsi="仿宋" w:eastAsia="仿宋"/>
          <w:b/>
          <w:szCs w:val="24"/>
        </w:rPr>
      </w:pPr>
      <w:r>
        <w:rPr>
          <w:rFonts w:hint="eastAsia" w:ascii="仿宋" w:hAnsi="仿宋" w:eastAsia="仿宋"/>
          <w:b/>
          <w:szCs w:val="24"/>
        </w:rPr>
        <w:t>二、人才培养方案</w:t>
      </w:r>
    </w:p>
    <w:p>
      <w:pPr>
        <w:spacing w:line="36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本专业设立了2套人才培养方案，分别是拔尖创新型卓越人才培养方案、复合应用型卓越人才培养方案。建议面向学术研究方向的学生选择拔尖创新性卓越人才培养方案修读；面向实践创新方向的学生可以选择复合应用型人才培养方案修读。原则上农学专业本科生可以自由选择拔尖创新型或复合应用型人才培养方案，并按照方案要求进行课程的修读。</w:t>
      </w:r>
    </w:p>
    <w:p>
      <w:pPr>
        <w:pStyle w:val="2"/>
        <w:spacing w:before="156" w:after="78"/>
        <w:ind w:firstLine="482"/>
        <w:jc w:val="center"/>
        <w:rPr>
          <w:rFonts w:ascii="仿宋" w:hAnsi="仿宋" w:eastAsia="仿宋"/>
          <w:b/>
          <w:szCs w:val="24"/>
        </w:rPr>
      </w:pPr>
      <w:r>
        <w:rPr>
          <w:rFonts w:hint="eastAsia" w:ascii="仿宋" w:hAnsi="仿宋" w:eastAsia="仿宋"/>
          <w:b/>
          <w:szCs w:val="24"/>
        </w:rPr>
        <w:t>三、班级组织形式</w:t>
      </w:r>
    </w:p>
    <w:p>
      <w:pPr>
        <w:spacing w:line="360" w:lineRule="exact"/>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本专业在原班级建制的基础上，建立拔尖创新型卓越人才虚拟班和复合应用型卓越人才虚拟班。学生根据自己的意愿自由选择申请拔尖创新卓越班或复合应用卓越班。经过相关考核程序，每个虚拟班级录取学生30名。卓越班设立退出和进入机制，有下列条件者应退出卓越班名单：</w:t>
      </w:r>
    </w:p>
    <w:p>
      <w:pPr>
        <w:pStyle w:val="6"/>
        <w:numPr>
          <w:ilvl w:val="0"/>
          <w:numId w:val="1"/>
        </w:numPr>
        <w:spacing w:line="360" w:lineRule="exact"/>
        <w:ind w:firstLineChars="0"/>
        <w:rPr>
          <w:rFonts w:ascii="仿宋" w:hAnsi="仿宋" w:eastAsia="仿宋" w:cs="宋体"/>
          <w:color w:val="000000"/>
          <w:sz w:val="24"/>
          <w:szCs w:val="24"/>
        </w:rPr>
      </w:pPr>
      <w:r>
        <w:rPr>
          <w:rFonts w:hint="eastAsia" w:ascii="仿宋" w:hAnsi="仿宋" w:eastAsia="仿宋" w:cs="宋体"/>
          <w:color w:val="000000"/>
          <w:sz w:val="24"/>
          <w:szCs w:val="24"/>
        </w:rPr>
        <w:t>入班后出现课程不及格；</w:t>
      </w:r>
    </w:p>
    <w:p>
      <w:pPr>
        <w:pStyle w:val="6"/>
        <w:numPr>
          <w:ilvl w:val="0"/>
          <w:numId w:val="1"/>
        </w:numPr>
        <w:spacing w:line="360" w:lineRule="exact"/>
        <w:ind w:firstLineChars="0"/>
        <w:rPr>
          <w:rFonts w:ascii="仿宋" w:hAnsi="仿宋" w:eastAsia="仿宋" w:cs="宋体"/>
          <w:color w:val="000000"/>
          <w:sz w:val="24"/>
          <w:szCs w:val="24"/>
        </w:rPr>
      </w:pPr>
      <w:r>
        <w:rPr>
          <w:rFonts w:hint="eastAsia" w:ascii="仿宋" w:hAnsi="仿宋" w:eastAsia="仿宋" w:cs="宋体"/>
          <w:color w:val="000000"/>
          <w:sz w:val="24"/>
          <w:szCs w:val="24"/>
        </w:rPr>
        <w:t>受到学校警告处分或以上者。</w:t>
      </w:r>
    </w:p>
    <w:p>
      <w:pPr>
        <w:pStyle w:val="2"/>
        <w:spacing w:before="156" w:after="78"/>
        <w:ind w:firstLine="482"/>
        <w:jc w:val="center"/>
        <w:rPr>
          <w:rFonts w:ascii="仿宋" w:hAnsi="仿宋" w:eastAsia="仿宋"/>
          <w:b/>
          <w:szCs w:val="24"/>
        </w:rPr>
      </w:pPr>
      <w:r>
        <w:rPr>
          <w:rFonts w:hint="eastAsia" w:ascii="仿宋" w:hAnsi="仿宋" w:eastAsia="仿宋"/>
          <w:b/>
          <w:szCs w:val="24"/>
        </w:rPr>
        <w:t>四、卓越班毕业要求</w:t>
      </w:r>
    </w:p>
    <w:p>
      <w:pPr>
        <w:spacing w:line="360" w:lineRule="exact"/>
        <w:ind w:firstLine="485" w:firstLineChars="202"/>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本专业学生按照本专业人才培养方案修读，完成规定学分，达到本专业毕业要求之后，将授予农学学士学位。如果达到以下要求，将颁发中英文卓越人才毕业证明。</w:t>
      </w:r>
    </w:p>
    <w:p>
      <w:pPr>
        <w:spacing w:line="36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一、拔尖创新型：</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(1)</w:t>
      </w:r>
      <w:r>
        <w:rPr>
          <w:rFonts w:hint="eastAsia" w:ascii="仿宋" w:hAnsi="仿宋" w:eastAsia="仿宋" w:cs="Times New Roman"/>
          <w:color w:val="000000"/>
          <w:sz w:val="24"/>
          <w:szCs w:val="24"/>
        </w:rPr>
        <w:t>按照拔尖创新型卓越人才培养方案修读，并取得相应学分；</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(2)</w:t>
      </w:r>
      <w:r>
        <w:rPr>
          <w:rFonts w:hint="eastAsia" w:ascii="仿宋" w:hAnsi="仿宋" w:eastAsia="仿宋" w:cs="Times New Roman"/>
          <w:color w:val="000000"/>
          <w:sz w:val="24"/>
          <w:szCs w:val="24"/>
        </w:rPr>
        <w:t>大学英语六级</w:t>
      </w:r>
      <w:r>
        <w:rPr>
          <w:rFonts w:ascii="仿宋" w:hAnsi="仿宋" w:eastAsia="仿宋" w:cs="Times New Roman"/>
          <w:color w:val="000000"/>
          <w:sz w:val="24"/>
          <w:szCs w:val="24"/>
        </w:rPr>
        <w:t>426</w:t>
      </w:r>
      <w:r>
        <w:rPr>
          <w:rFonts w:hint="eastAsia" w:ascii="仿宋" w:hAnsi="仿宋" w:eastAsia="仿宋" w:cs="Times New Roman"/>
          <w:color w:val="000000"/>
          <w:sz w:val="24"/>
          <w:szCs w:val="24"/>
        </w:rPr>
        <w:t>分以上；或者雅思</w:t>
      </w:r>
      <w:r>
        <w:rPr>
          <w:rFonts w:ascii="仿宋" w:hAnsi="仿宋" w:eastAsia="仿宋" w:cs="Times New Roman"/>
          <w:color w:val="000000"/>
          <w:sz w:val="24"/>
          <w:szCs w:val="24"/>
        </w:rPr>
        <w:t>6.5</w:t>
      </w:r>
      <w:r>
        <w:rPr>
          <w:rFonts w:hint="eastAsia" w:ascii="仿宋" w:hAnsi="仿宋" w:eastAsia="仿宋" w:cs="Times New Roman"/>
          <w:color w:val="000000"/>
          <w:sz w:val="24"/>
          <w:szCs w:val="24"/>
        </w:rPr>
        <w:t>以上；或者托福</w:t>
      </w:r>
      <w:r>
        <w:rPr>
          <w:rFonts w:ascii="仿宋" w:hAnsi="仿宋" w:eastAsia="仿宋" w:cs="Times New Roman"/>
          <w:color w:val="000000"/>
          <w:sz w:val="24"/>
          <w:szCs w:val="24"/>
        </w:rPr>
        <w:t>90</w:t>
      </w:r>
      <w:r>
        <w:rPr>
          <w:rFonts w:hint="eastAsia" w:ascii="仿宋" w:hAnsi="仿宋" w:eastAsia="仿宋" w:cs="Times New Roman"/>
          <w:color w:val="000000"/>
          <w:sz w:val="24"/>
          <w:szCs w:val="24"/>
        </w:rPr>
        <w:t>分以上。</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(3)</w:t>
      </w:r>
      <w:r>
        <w:rPr>
          <w:rFonts w:hint="eastAsia" w:ascii="仿宋" w:hAnsi="仿宋" w:eastAsia="仿宋" w:cs="Times New Roman"/>
          <w:color w:val="000000"/>
          <w:sz w:val="24"/>
          <w:szCs w:val="24"/>
        </w:rPr>
        <w:t>主持或参加学术研究类</w:t>
      </w:r>
      <w:r>
        <w:rPr>
          <w:rFonts w:ascii="仿宋" w:hAnsi="仿宋" w:eastAsia="仿宋" w:cs="Times New Roman"/>
          <w:color w:val="000000"/>
          <w:sz w:val="24"/>
          <w:szCs w:val="24"/>
        </w:rPr>
        <w:t>SRT</w:t>
      </w:r>
      <w:r>
        <w:rPr>
          <w:rFonts w:hint="eastAsia" w:ascii="仿宋" w:hAnsi="仿宋" w:eastAsia="仿宋" w:cs="Times New Roman"/>
          <w:color w:val="000000"/>
          <w:sz w:val="24"/>
          <w:szCs w:val="24"/>
        </w:rPr>
        <w:t>项目、创新性实验实践项目或教授开放课程；</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(4)</w:t>
      </w:r>
      <w:r>
        <w:rPr>
          <w:rFonts w:hint="eastAsia" w:ascii="仿宋" w:hAnsi="仿宋" w:eastAsia="仿宋" w:cs="Times New Roman"/>
          <w:color w:val="000000"/>
          <w:sz w:val="24"/>
          <w:szCs w:val="24"/>
        </w:rPr>
        <w:t>本科在读期间在核心期刊或</w:t>
      </w:r>
      <w:r>
        <w:rPr>
          <w:rFonts w:ascii="仿宋" w:hAnsi="仿宋" w:eastAsia="仿宋" w:cs="Times New Roman"/>
          <w:color w:val="000000"/>
          <w:sz w:val="24"/>
          <w:szCs w:val="24"/>
        </w:rPr>
        <w:t>SCI</w:t>
      </w:r>
      <w:r>
        <w:rPr>
          <w:rFonts w:hint="eastAsia" w:ascii="仿宋" w:hAnsi="仿宋" w:eastAsia="仿宋" w:cs="Times New Roman"/>
          <w:color w:val="000000"/>
          <w:sz w:val="24"/>
          <w:szCs w:val="24"/>
        </w:rPr>
        <w:t>刊物上参与发表研究论文</w:t>
      </w:r>
      <w:r>
        <w:rPr>
          <w:rFonts w:ascii="仿宋" w:hAnsi="仿宋" w:eastAsia="仿宋" w:cs="Times New Roman"/>
          <w:color w:val="000000"/>
          <w:sz w:val="24"/>
          <w:szCs w:val="24"/>
        </w:rPr>
        <w:t>1</w:t>
      </w:r>
      <w:r>
        <w:rPr>
          <w:rFonts w:hint="eastAsia" w:ascii="仿宋" w:hAnsi="仿宋" w:eastAsia="仿宋" w:cs="Times New Roman"/>
          <w:color w:val="000000"/>
          <w:sz w:val="24"/>
          <w:szCs w:val="24"/>
        </w:rPr>
        <w:t>篇（排名前</w:t>
      </w:r>
      <w:r>
        <w:rPr>
          <w:rFonts w:ascii="仿宋" w:hAnsi="仿宋" w:eastAsia="仿宋" w:cs="Times New Roman"/>
          <w:color w:val="000000"/>
          <w:sz w:val="24"/>
          <w:szCs w:val="24"/>
        </w:rPr>
        <w:t>3</w:t>
      </w:r>
      <w:r>
        <w:rPr>
          <w:rFonts w:hint="eastAsia" w:ascii="仿宋" w:hAnsi="仿宋" w:eastAsia="仿宋" w:cs="Times New Roman"/>
          <w:color w:val="000000"/>
          <w:sz w:val="24"/>
          <w:szCs w:val="24"/>
        </w:rPr>
        <w:t>位）或者参与申请专利</w:t>
      </w:r>
      <w:r>
        <w:rPr>
          <w:rFonts w:ascii="仿宋" w:hAnsi="仿宋" w:eastAsia="仿宋" w:cs="Times New Roman"/>
          <w:color w:val="000000"/>
          <w:sz w:val="24"/>
          <w:szCs w:val="24"/>
        </w:rPr>
        <w:t>1</w:t>
      </w:r>
      <w:r>
        <w:rPr>
          <w:rFonts w:hint="eastAsia" w:ascii="仿宋" w:hAnsi="仿宋" w:eastAsia="仿宋" w:cs="Times New Roman"/>
          <w:color w:val="000000"/>
          <w:sz w:val="24"/>
          <w:szCs w:val="24"/>
        </w:rPr>
        <w:t>项（排名前</w:t>
      </w:r>
      <w:r>
        <w:rPr>
          <w:rFonts w:ascii="仿宋" w:hAnsi="仿宋" w:eastAsia="仿宋" w:cs="Times New Roman"/>
          <w:color w:val="000000"/>
          <w:sz w:val="24"/>
          <w:szCs w:val="24"/>
        </w:rPr>
        <w:t>3</w:t>
      </w:r>
      <w:r>
        <w:rPr>
          <w:rFonts w:hint="eastAsia" w:ascii="仿宋" w:hAnsi="仿宋" w:eastAsia="仿宋" w:cs="Times New Roman"/>
          <w:color w:val="000000"/>
          <w:sz w:val="24"/>
          <w:szCs w:val="24"/>
        </w:rPr>
        <w:t>位）或者获得校级以上大学生学术类竞赛奖项（排名前</w:t>
      </w:r>
      <w:r>
        <w:rPr>
          <w:rFonts w:ascii="仿宋" w:hAnsi="仿宋" w:eastAsia="仿宋" w:cs="Times New Roman"/>
          <w:color w:val="000000"/>
          <w:sz w:val="24"/>
          <w:szCs w:val="24"/>
        </w:rPr>
        <w:t>3</w:t>
      </w:r>
      <w:r>
        <w:rPr>
          <w:rFonts w:hint="eastAsia" w:ascii="仿宋" w:hAnsi="仿宋" w:eastAsia="仿宋" w:cs="Times New Roman"/>
          <w:color w:val="000000"/>
          <w:sz w:val="24"/>
          <w:szCs w:val="24"/>
        </w:rPr>
        <w:t>位）。</w:t>
      </w:r>
    </w:p>
    <w:p>
      <w:pPr>
        <w:spacing w:line="360" w:lineRule="exact"/>
        <w:ind w:left="4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(5)卓越班学生均需在在校期间参加世界知名院校、科研院所、企业、行业、用人单位知名专家等的16次学术讲座，并上交学习报告。</w:t>
      </w:r>
    </w:p>
    <w:p>
      <w:pPr>
        <w:spacing w:line="360" w:lineRule="exact"/>
        <w:ind w:left="4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(6)毕业实习环节需参加南京农业大学与校内、校外科研院所（江苏省农业科学院、江苏省中国科学院植物研究所等）的协同培养计划。</w:t>
      </w:r>
    </w:p>
    <w:p>
      <w:pPr>
        <w:spacing w:line="360" w:lineRule="exact"/>
        <w:jc w:val="left"/>
        <w:rPr>
          <w:rFonts w:ascii="仿宋" w:hAnsi="仿宋" w:eastAsia="仿宋" w:cs="宋体"/>
          <w:color w:val="000000"/>
          <w:sz w:val="24"/>
          <w:szCs w:val="24"/>
        </w:rPr>
      </w:pPr>
    </w:p>
    <w:p>
      <w:pPr>
        <w:spacing w:line="360" w:lineRule="exact"/>
        <w:jc w:val="left"/>
        <w:rPr>
          <w:rFonts w:ascii="仿宋" w:hAnsi="仿宋" w:eastAsia="仿宋" w:cs="宋体"/>
          <w:color w:val="000000"/>
          <w:sz w:val="24"/>
          <w:szCs w:val="24"/>
        </w:rPr>
      </w:pPr>
      <w:r>
        <w:rPr>
          <w:rFonts w:hint="eastAsia" w:ascii="仿宋" w:hAnsi="仿宋" w:eastAsia="仿宋" w:cs="宋体"/>
          <w:color w:val="000000"/>
          <w:sz w:val="24"/>
          <w:szCs w:val="24"/>
        </w:rPr>
        <w:t>二、复合应用型：</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(1)</w:t>
      </w:r>
      <w:r>
        <w:rPr>
          <w:rFonts w:hint="eastAsia" w:ascii="仿宋" w:hAnsi="仿宋" w:eastAsia="仿宋" w:cs="Times New Roman"/>
          <w:color w:val="000000"/>
          <w:sz w:val="24"/>
          <w:szCs w:val="24"/>
        </w:rPr>
        <w:t>按照复合应用型卓越人才培养方案修读，并取得相应学分；</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(2)</w:t>
      </w:r>
      <w:r>
        <w:rPr>
          <w:rFonts w:hint="eastAsia" w:ascii="仿宋" w:hAnsi="仿宋" w:eastAsia="仿宋" w:cs="Times New Roman"/>
          <w:color w:val="000000"/>
          <w:sz w:val="24"/>
          <w:szCs w:val="24"/>
        </w:rPr>
        <w:t>大学英语四级</w:t>
      </w:r>
      <w:r>
        <w:rPr>
          <w:rFonts w:ascii="仿宋" w:hAnsi="仿宋" w:eastAsia="仿宋" w:cs="Times New Roman"/>
          <w:color w:val="000000"/>
          <w:sz w:val="24"/>
          <w:szCs w:val="24"/>
        </w:rPr>
        <w:t>4</w:t>
      </w:r>
      <w:r>
        <w:rPr>
          <w:rFonts w:hint="eastAsia" w:ascii="仿宋" w:hAnsi="仿宋" w:eastAsia="仿宋" w:cs="Times New Roman"/>
          <w:color w:val="000000"/>
          <w:sz w:val="24"/>
          <w:szCs w:val="24"/>
        </w:rPr>
        <w:t>50分以上</w:t>
      </w:r>
      <w:r>
        <w:rPr>
          <w:rFonts w:ascii="仿宋" w:hAnsi="仿宋" w:eastAsia="仿宋" w:cs="Times New Roman"/>
          <w:color w:val="000000"/>
          <w:sz w:val="24"/>
          <w:szCs w:val="24"/>
        </w:rPr>
        <w:t>或大学英语六级426分以上</w:t>
      </w:r>
      <w:r>
        <w:rPr>
          <w:rFonts w:hint="eastAsia" w:ascii="仿宋" w:hAnsi="仿宋" w:eastAsia="仿宋" w:cs="Times New Roman"/>
          <w:color w:val="000000"/>
          <w:sz w:val="24"/>
          <w:szCs w:val="24"/>
        </w:rPr>
        <w:t>，</w:t>
      </w:r>
      <w:r>
        <w:rPr>
          <w:rFonts w:ascii="仿宋" w:hAnsi="仿宋" w:eastAsia="仿宋" w:cs="Times New Roman"/>
          <w:color w:val="000000"/>
          <w:sz w:val="24"/>
          <w:szCs w:val="24"/>
        </w:rPr>
        <w:t>或雅思6.</w:t>
      </w:r>
      <w:r>
        <w:rPr>
          <w:rFonts w:hint="eastAsia" w:ascii="仿宋" w:hAnsi="仿宋" w:eastAsia="仿宋" w:cs="Times New Roman"/>
          <w:color w:val="000000"/>
          <w:sz w:val="24"/>
          <w:szCs w:val="24"/>
        </w:rPr>
        <w:t>0</w:t>
      </w:r>
      <w:r>
        <w:rPr>
          <w:rFonts w:ascii="仿宋" w:hAnsi="仿宋" w:eastAsia="仿宋" w:cs="Times New Roman"/>
          <w:color w:val="000000"/>
          <w:sz w:val="24"/>
          <w:szCs w:val="24"/>
        </w:rPr>
        <w:t>以上</w:t>
      </w:r>
      <w:r>
        <w:rPr>
          <w:rFonts w:hint="eastAsia" w:ascii="仿宋" w:hAnsi="仿宋" w:eastAsia="仿宋" w:cs="Times New Roman"/>
          <w:color w:val="000000"/>
          <w:sz w:val="24"/>
          <w:szCs w:val="24"/>
        </w:rPr>
        <w:t>，</w:t>
      </w:r>
      <w:r>
        <w:rPr>
          <w:rFonts w:ascii="仿宋" w:hAnsi="仿宋" w:eastAsia="仿宋" w:cs="Times New Roman"/>
          <w:color w:val="000000"/>
          <w:sz w:val="24"/>
          <w:szCs w:val="24"/>
        </w:rPr>
        <w:t>或托福</w:t>
      </w:r>
      <w:r>
        <w:rPr>
          <w:rFonts w:hint="eastAsia" w:ascii="仿宋" w:hAnsi="仿宋" w:eastAsia="仿宋" w:cs="Times New Roman"/>
          <w:color w:val="000000"/>
          <w:sz w:val="24"/>
          <w:szCs w:val="24"/>
        </w:rPr>
        <w:t>85</w:t>
      </w:r>
      <w:r>
        <w:rPr>
          <w:rFonts w:ascii="仿宋" w:hAnsi="仿宋" w:eastAsia="仿宋" w:cs="Times New Roman"/>
          <w:color w:val="000000"/>
          <w:sz w:val="24"/>
          <w:szCs w:val="24"/>
        </w:rPr>
        <w:t>分以上</w:t>
      </w:r>
      <w:r>
        <w:rPr>
          <w:rFonts w:hint="eastAsia" w:ascii="仿宋" w:hAnsi="仿宋" w:eastAsia="仿宋" w:cs="Times New Roman"/>
          <w:color w:val="000000"/>
          <w:sz w:val="24"/>
          <w:szCs w:val="24"/>
        </w:rPr>
        <w:t>；</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(3)</w:t>
      </w:r>
      <w:r>
        <w:rPr>
          <w:rFonts w:hint="eastAsia" w:ascii="仿宋" w:hAnsi="仿宋" w:eastAsia="仿宋" w:cs="Times New Roman"/>
          <w:color w:val="000000"/>
          <w:sz w:val="24"/>
          <w:szCs w:val="24"/>
        </w:rPr>
        <w:t>主持或参加实践创新类</w:t>
      </w:r>
      <w:r>
        <w:rPr>
          <w:rFonts w:ascii="仿宋" w:hAnsi="仿宋" w:eastAsia="仿宋" w:cs="Times New Roman"/>
          <w:color w:val="000000"/>
          <w:sz w:val="24"/>
          <w:szCs w:val="24"/>
        </w:rPr>
        <w:t>SRT</w:t>
      </w:r>
      <w:r>
        <w:rPr>
          <w:rFonts w:hint="eastAsia" w:ascii="仿宋" w:hAnsi="仿宋" w:eastAsia="仿宋" w:cs="Times New Roman"/>
          <w:color w:val="000000"/>
          <w:sz w:val="24"/>
          <w:szCs w:val="24"/>
        </w:rPr>
        <w:t>项目、创新性实验实践项目或园艺学院创新创业训练计划项目；</w:t>
      </w:r>
    </w:p>
    <w:p>
      <w:pPr>
        <w:spacing w:line="360" w:lineRule="exact"/>
        <w:ind w:left="420"/>
        <w:jc w:val="left"/>
        <w:rPr>
          <w:rFonts w:ascii="仿宋" w:hAnsi="仿宋" w:eastAsia="仿宋" w:cs="Times New Roman"/>
          <w:color w:val="000000"/>
          <w:sz w:val="24"/>
          <w:szCs w:val="24"/>
        </w:rPr>
      </w:pPr>
      <w:r>
        <w:rPr>
          <w:rFonts w:ascii="仿宋" w:hAnsi="仿宋" w:eastAsia="仿宋" w:cs="Times New Roman"/>
          <w:color w:val="000000"/>
          <w:sz w:val="24"/>
          <w:szCs w:val="24"/>
        </w:rPr>
        <w:t>(4)</w:t>
      </w:r>
      <w:r>
        <w:rPr>
          <w:rFonts w:hint="eastAsia" w:ascii="仿宋" w:hAnsi="仿宋" w:eastAsia="仿宋" w:cs="Times New Roman"/>
          <w:color w:val="000000"/>
          <w:sz w:val="24"/>
          <w:szCs w:val="24"/>
        </w:rPr>
        <w:t>本科在读期间在各类刊物上参与发表文章</w:t>
      </w:r>
      <w:r>
        <w:rPr>
          <w:rFonts w:ascii="仿宋" w:hAnsi="仿宋" w:eastAsia="仿宋" w:cs="Times New Roman"/>
          <w:color w:val="000000"/>
          <w:sz w:val="24"/>
          <w:szCs w:val="24"/>
        </w:rPr>
        <w:t>1</w:t>
      </w:r>
      <w:r>
        <w:rPr>
          <w:rFonts w:hint="eastAsia" w:ascii="仿宋" w:hAnsi="仿宋" w:eastAsia="仿宋" w:cs="Times New Roman"/>
          <w:color w:val="000000"/>
          <w:sz w:val="24"/>
          <w:szCs w:val="24"/>
        </w:rPr>
        <w:t>篇（排名前</w:t>
      </w:r>
      <w:r>
        <w:rPr>
          <w:rFonts w:ascii="仿宋" w:hAnsi="仿宋" w:eastAsia="仿宋" w:cs="Times New Roman"/>
          <w:color w:val="000000"/>
          <w:sz w:val="24"/>
          <w:szCs w:val="24"/>
        </w:rPr>
        <w:t>3</w:t>
      </w:r>
      <w:r>
        <w:rPr>
          <w:rFonts w:hint="eastAsia" w:ascii="仿宋" w:hAnsi="仿宋" w:eastAsia="仿宋" w:cs="Times New Roman"/>
          <w:color w:val="000000"/>
          <w:sz w:val="24"/>
          <w:szCs w:val="24"/>
        </w:rPr>
        <w:t>位）或者申请专利</w:t>
      </w:r>
      <w:r>
        <w:rPr>
          <w:rFonts w:ascii="仿宋" w:hAnsi="仿宋" w:eastAsia="仿宋" w:cs="Times New Roman"/>
          <w:color w:val="000000"/>
          <w:sz w:val="24"/>
          <w:szCs w:val="24"/>
        </w:rPr>
        <w:t>1</w:t>
      </w:r>
      <w:r>
        <w:rPr>
          <w:rFonts w:hint="eastAsia" w:ascii="仿宋" w:hAnsi="仿宋" w:eastAsia="仿宋" w:cs="Times New Roman"/>
          <w:color w:val="000000"/>
          <w:sz w:val="24"/>
          <w:szCs w:val="24"/>
        </w:rPr>
        <w:t>项（排名前</w:t>
      </w:r>
      <w:r>
        <w:rPr>
          <w:rFonts w:ascii="仿宋" w:hAnsi="仿宋" w:eastAsia="仿宋" w:cs="Times New Roman"/>
          <w:color w:val="000000"/>
          <w:sz w:val="24"/>
          <w:szCs w:val="24"/>
        </w:rPr>
        <w:t>3</w:t>
      </w:r>
      <w:r>
        <w:rPr>
          <w:rFonts w:hint="eastAsia" w:ascii="仿宋" w:hAnsi="仿宋" w:eastAsia="仿宋" w:cs="Times New Roman"/>
          <w:color w:val="000000"/>
          <w:sz w:val="24"/>
          <w:szCs w:val="24"/>
        </w:rPr>
        <w:t>位）或者获得校级以上大学生创新创业类竞赛奖项（排名前</w:t>
      </w:r>
      <w:r>
        <w:rPr>
          <w:rFonts w:ascii="仿宋" w:hAnsi="仿宋" w:eastAsia="仿宋" w:cs="Times New Roman"/>
          <w:color w:val="000000"/>
          <w:sz w:val="24"/>
          <w:szCs w:val="24"/>
        </w:rPr>
        <w:t>3</w:t>
      </w:r>
      <w:r>
        <w:rPr>
          <w:rFonts w:hint="eastAsia" w:ascii="仿宋" w:hAnsi="仿宋" w:eastAsia="仿宋" w:cs="Times New Roman"/>
          <w:color w:val="000000"/>
          <w:sz w:val="24"/>
          <w:szCs w:val="24"/>
        </w:rPr>
        <w:t>位）。</w:t>
      </w:r>
    </w:p>
    <w:p>
      <w:pPr>
        <w:spacing w:line="360" w:lineRule="exact"/>
        <w:ind w:left="4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(5)卓越班学生均需在在校期间参加世界知名院校、科研院所、企业、行业、用人单位知名专家等的16次学术讲座，并上交学习报告。</w:t>
      </w:r>
    </w:p>
    <w:p>
      <w:pPr>
        <w:spacing w:line="360" w:lineRule="exact"/>
        <w:ind w:left="4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(6)毕业实习环节需参加南京农业大学与校外企业、用人单位协同培养计划。</w:t>
      </w:r>
    </w:p>
    <w:p>
      <w:pPr>
        <w:spacing w:line="360" w:lineRule="exact"/>
        <w:ind w:left="420"/>
        <w:jc w:val="left"/>
        <w:rPr>
          <w:rFonts w:ascii="仿宋" w:hAnsi="仿宋" w:eastAsia="仿宋" w:cs="宋体"/>
          <w:color w:val="000000"/>
          <w:sz w:val="24"/>
          <w:szCs w:val="24"/>
        </w:rPr>
      </w:pPr>
    </w:p>
    <w:p>
      <w:pPr>
        <w:pStyle w:val="2"/>
        <w:spacing w:before="156" w:after="78"/>
        <w:ind w:firstLine="482"/>
        <w:jc w:val="center"/>
        <w:rPr>
          <w:rFonts w:ascii="仿宋" w:hAnsi="仿宋" w:eastAsia="仿宋"/>
          <w:b/>
          <w:szCs w:val="24"/>
        </w:rPr>
      </w:pPr>
      <w:r>
        <w:rPr>
          <w:rFonts w:ascii="仿宋" w:hAnsi="仿宋" w:eastAsia="仿宋"/>
          <w:b/>
          <w:szCs w:val="24"/>
        </w:rPr>
        <w:t xml:space="preserve">五 </w:t>
      </w:r>
      <w:r>
        <w:rPr>
          <w:rFonts w:hint="eastAsia" w:ascii="仿宋" w:hAnsi="仿宋" w:eastAsia="仿宋"/>
          <w:b/>
          <w:szCs w:val="24"/>
        </w:rPr>
        <w:t>成员</w:t>
      </w:r>
      <w:r>
        <w:rPr>
          <w:rFonts w:ascii="仿宋" w:hAnsi="仿宋" w:eastAsia="仿宋"/>
          <w:b/>
          <w:szCs w:val="24"/>
        </w:rPr>
        <w:t>待遇</w:t>
      </w:r>
    </w:p>
    <w:p>
      <w:pPr>
        <w:pStyle w:val="6"/>
        <w:numPr>
          <w:ilvl w:val="0"/>
          <w:numId w:val="2"/>
        </w:numPr>
        <w:spacing w:line="360" w:lineRule="exact"/>
        <w:ind w:left="426" w:hanging="426" w:firstLineChars="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卓越班（拔尖创新型）学生在同等条件下优先推荐赴世界一流大学实习、攻读硕士或博士学位；</w:t>
      </w:r>
    </w:p>
    <w:p>
      <w:pPr>
        <w:pStyle w:val="6"/>
        <w:numPr>
          <w:ilvl w:val="0"/>
          <w:numId w:val="2"/>
        </w:numPr>
        <w:spacing w:line="360" w:lineRule="exact"/>
        <w:ind w:left="426" w:hanging="426" w:firstLineChars="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卓越班（复合应用型）学生在同等条件下优先推荐赴国内外知名企业实习、实践机会；</w:t>
      </w:r>
    </w:p>
    <w:p>
      <w:pPr>
        <w:pStyle w:val="6"/>
        <w:numPr>
          <w:ilvl w:val="0"/>
          <w:numId w:val="2"/>
        </w:numPr>
        <w:spacing w:line="360" w:lineRule="exact"/>
        <w:ind w:left="426" w:hanging="426" w:firstLineChars="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卓越班学生在同等条件下优先推荐短期出国研修或修学分项目；</w:t>
      </w:r>
    </w:p>
    <w:p>
      <w:pPr>
        <w:pStyle w:val="6"/>
        <w:numPr>
          <w:ilvl w:val="0"/>
          <w:numId w:val="2"/>
        </w:numPr>
        <w:spacing w:line="360" w:lineRule="exact"/>
        <w:ind w:left="426" w:hanging="426" w:firstLineChars="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卓越班毕业生将获得中英文卓越人才毕业证明或证书。</w:t>
      </w:r>
    </w:p>
    <w:p>
      <w:pPr>
        <w:pStyle w:val="6"/>
        <w:numPr>
          <w:ilvl w:val="0"/>
          <w:numId w:val="2"/>
        </w:numPr>
        <w:spacing w:line="360" w:lineRule="exact"/>
        <w:ind w:left="426" w:hanging="426" w:firstLineChars="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卓越班学生可以获得附加保研加分。</w:t>
      </w:r>
    </w:p>
    <w:p>
      <w:pPr>
        <w:pStyle w:val="2"/>
        <w:spacing w:before="156" w:after="78"/>
        <w:ind w:firstLine="482"/>
        <w:jc w:val="center"/>
        <w:rPr>
          <w:rFonts w:ascii="仿宋" w:hAnsi="仿宋" w:eastAsia="仿宋"/>
          <w:b/>
          <w:szCs w:val="24"/>
        </w:rPr>
      </w:pPr>
      <w:r>
        <w:rPr>
          <w:rFonts w:hint="eastAsia" w:ascii="仿宋" w:hAnsi="仿宋" w:eastAsia="仿宋"/>
          <w:b/>
          <w:szCs w:val="24"/>
        </w:rPr>
        <w:t>六 其他</w:t>
      </w:r>
    </w:p>
    <w:p>
      <w:pPr>
        <w:pStyle w:val="6"/>
        <w:numPr>
          <w:ilvl w:val="0"/>
          <w:numId w:val="3"/>
        </w:numPr>
        <w:spacing w:line="360" w:lineRule="exact"/>
        <w:ind w:firstLineChars="0"/>
        <w:jc w:val="left"/>
        <w:rPr>
          <w:rFonts w:ascii="仿宋" w:hAnsi="仿宋" w:eastAsia="仿宋" w:cs="宋体"/>
          <w:color w:val="000000"/>
          <w:sz w:val="24"/>
          <w:szCs w:val="24"/>
        </w:rPr>
      </w:pPr>
      <w:r>
        <w:rPr>
          <w:rFonts w:hint="eastAsia" w:ascii="仿宋" w:hAnsi="仿宋" w:eastAsia="仿宋" w:cs="宋体"/>
          <w:color w:val="000000"/>
          <w:sz w:val="24"/>
          <w:szCs w:val="24"/>
        </w:rPr>
        <w:t>卓越班为虚拟班，成员的班级关系、评奖评优仍在原实体班进行。</w:t>
      </w:r>
    </w:p>
    <w:p>
      <w:pPr>
        <w:pStyle w:val="6"/>
        <w:numPr>
          <w:ilvl w:val="0"/>
          <w:numId w:val="3"/>
        </w:numPr>
        <w:spacing w:line="360" w:lineRule="exact"/>
        <w:ind w:firstLineChars="0"/>
        <w:jc w:val="left"/>
        <w:rPr>
          <w:rFonts w:ascii="仿宋" w:hAnsi="仿宋" w:eastAsia="仿宋" w:cs="宋体"/>
          <w:color w:val="000000"/>
          <w:sz w:val="24"/>
          <w:szCs w:val="24"/>
        </w:rPr>
      </w:pPr>
      <w:r>
        <w:rPr>
          <w:rFonts w:hint="eastAsia" w:ascii="仿宋" w:hAnsi="仿宋" w:eastAsia="仿宋" w:cs="宋体"/>
          <w:color w:val="000000"/>
          <w:sz w:val="24"/>
          <w:szCs w:val="24"/>
        </w:rPr>
        <w:t>本方案将自2014级园艺学专业本科生开始执行，由园艺学院负责解释。</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08C9"/>
    <w:multiLevelType w:val="multilevel"/>
    <w:tmpl w:val="26D208C9"/>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3E16D1C"/>
    <w:multiLevelType w:val="multilevel"/>
    <w:tmpl w:val="33E16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5978BA"/>
    <w:multiLevelType w:val="multilevel"/>
    <w:tmpl w:val="765978B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B2B41"/>
    <w:rsid w:val="2E2B2B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unhideWhenUsed/>
    <w:qFormat/>
    <w:uiPriority w:val="0"/>
    <w:pPr>
      <w:spacing w:beforeLines="50" w:afterLines="25" w:line="360" w:lineRule="atLeast"/>
      <w:ind w:firstLine="480" w:firstLineChars="200"/>
      <w:outlineLvl w:val="1"/>
    </w:pPr>
    <w:rPr>
      <w:rFonts w:ascii="Times New Roman" w:hAnsi="Times New Roman" w:eastAsia="黑体" w:cs="Times New Roman"/>
      <w:b w:val="0"/>
      <w:bCs w:val="0"/>
      <w:color w:val="000000"/>
      <w:sz w:val="24"/>
      <w:szCs w:val="21"/>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2016-05-26T08:15:00Z</dcterms:created>
  <dc:creator>yuanyi</dc:creator>
  <cp:lastModifiedBy>yuanyi</cp:lastModifiedBy>
  <dcterms:modified xsi:type="dcterms:W3CDTF">2016-05-26T08:16:11Z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